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61" w:rsidRPr="00141E61" w:rsidRDefault="00141E61" w:rsidP="00141E61">
      <w:pPr>
        <w:spacing w:before="240"/>
        <w:jc w:val="center"/>
        <w:rPr>
          <w:rFonts w:eastAsia="Times New Roman" w:cstheme="minorHAnsi"/>
          <w:b/>
          <w:bCs/>
          <w:lang w:eastAsia="el-GR"/>
        </w:rPr>
      </w:pPr>
      <w:bookmarkStart w:id="0" w:name="_GoBack"/>
      <w:bookmarkEnd w:id="0"/>
      <w:r w:rsidRPr="00141E61">
        <w:rPr>
          <w:rFonts w:eastAsiaTheme="minorEastAsia" w:cstheme="minorHAnsi"/>
          <w:b/>
          <w:bCs/>
          <w:lang w:eastAsia="el-GR"/>
        </w:rPr>
        <w:t xml:space="preserve">Δήλωση αμοιβαίας αναγνώρισης για τους σκοπούς του </w:t>
      </w:r>
      <w:r w:rsidRPr="00141E61">
        <w:rPr>
          <w:rFonts w:eastAsiaTheme="minorEastAsia" w:cstheme="minorHAnsi"/>
          <w:b/>
          <w:bCs/>
          <w:iCs/>
          <w:color w:val="000000"/>
          <w:lang w:eastAsia="el-GR"/>
        </w:rPr>
        <w:t>άρθρου 4 τ</w:t>
      </w:r>
      <w:r w:rsidRPr="00141E61">
        <w:rPr>
          <w:rFonts w:eastAsiaTheme="minorEastAsia" w:cstheme="minorHAnsi"/>
          <w:b/>
          <w:bCs/>
          <w:color w:val="000000"/>
          <w:lang w:eastAsia="el-GR"/>
        </w:rPr>
        <w:t xml:space="preserve">ου </w:t>
      </w:r>
      <w:r w:rsidRPr="00141E61">
        <w:rPr>
          <w:rFonts w:eastAsiaTheme="minorEastAsia" w:cstheme="minorHAnsi"/>
          <w:b/>
          <w:bCs/>
          <w:lang w:eastAsia="el-GR"/>
        </w:rPr>
        <w:t xml:space="preserve">Κανονισμού (ΕΕ) 2019/515 του Ευρωπαϊκού Κοινοβουλίου και του Συμβουλίου </w:t>
      </w:r>
    </w:p>
    <w:p w:rsidR="00141E61" w:rsidRPr="00141E61" w:rsidRDefault="00141E61" w:rsidP="00141E61">
      <w:pPr>
        <w:rPr>
          <w:rFonts w:eastAsia="Times New Roman" w:cstheme="minorHAnsi"/>
          <w:lang w:eastAsia="el-GR"/>
        </w:rPr>
      </w:pPr>
      <w:r w:rsidRPr="00141E61">
        <w:rPr>
          <w:rFonts w:eastAsiaTheme="minorEastAsia" w:cstheme="minorHAnsi"/>
          <w:b/>
          <w:color w:val="000000"/>
          <w:lang w:eastAsia="el-GR"/>
        </w:rPr>
        <w:t>Μέρος I</w:t>
      </w:r>
    </w:p>
    <w:p w:rsidR="00141E61" w:rsidRPr="00141E61" w:rsidRDefault="00141E61" w:rsidP="00141E61">
      <w:pPr>
        <w:ind w:left="851" w:hanging="851"/>
        <w:jc w:val="both"/>
        <w:rPr>
          <w:rFonts w:eastAsia="Times New Roman" w:cstheme="minorHAnsi"/>
          <w:lang w:eastAsia="el-GR"/>
        </w:rPr>
      </w:pPr>
      <w:r w:rsidRPr="00141E61">
        <w:rPr>
          <w:rFonts w:eastAsiaTheme="minorEastAsia" w:cstheme="minorHAnsi"/>
          <w:lang w:eastAsia="el-GR"/>
        </w:rPr>
        <w:t>1.</w:t>
      </w:r>
      <w:r w:rsidRPr="00141E61">
        <w:rPr>
          <w:rFonts w:eastAsiaTheme="minorEastAsia" w:cstheme="minorHAnsi"/>
          <w:lang w:eastAsia="el-GR"/>
        </w:rPr>
        <w:tab/>
        <w:t xml:space="preserve">Μοναδικός αναγνωριστικός κωδικός των εμπορευμάτων ή του είδους εμπορευμάτων: [Σημείωση: Να εισαχθεί ο </w:t>
      </w:r>
      <w:r w:rsidRPr="00141E61">
        <w:rPr>
          <w:rFonts w:eastAsiaTheme="minorEastAsia" w:cstheme="minorHAnsi"/>
          <w:color w:val="000000"/>
          <w:lang w:eastAsia="el-GR"/>
        </w:rPr>
        <w:t>αναγνωριστικός</w:t>
      </w:r>
      <w:r w:rsidRPr="00141E61">
        <w:rPr>
          <w:rFonts w:eastAsiaTheme="minorEastAsia" w:cstheme="minorHAnsi"/>
          <w:lang w:eastAsia="el-GR"/>
        </w:rPr>
        <w:t xml:space="preserve"> αριθμός εμπορευμάτων ή άλλος δείκτης αναφοράς για τη μονοσήμαντη ταυτοποίηση των εμπορευμάτων ή του είδους εμπορευμάτων.]</w:t>
      </w:r>
    </w:p>
    <w:p w:rsidR="00141E61" w:rsidRPr="00141E61" w:rsidRDefault="00141E61" w:rsidP="00141E61">
      <w:pPr>
        <w:ind w:left="851" w:hanging="851"/>
        <w:jc w:val="both"/>
        <w:rPr>
          <w:rFonts w:eastAsia="Times New Roman" w:cstheme="minorHAnsi"/>
          <w:lang w:eastAsia="el-GR"/>
        </w:rPr>
      </w:pPr>
      <w:r w:rsidRPr="00141E61">
        <w:rPr>
          <w:rFonts w:eastAsiaTheme="minorEastAsia" w:cstheme="minorHAnsi"/>
          <w:lang w:eastAsia="el-GR"/>
        </w:rPr>
        <w:t>2.</w:t>
      </w:r>
      <w:r w:rsidRPr="00141E61">
        <w:rPr>
          <w:rFonts w:eastAsiaTheme="minorEastAsia" w:cstheme="minorHAnsi"/>
          <w:lang w:eastAsia="el-GR"/>
        </w:rPr>
        <w:tab/>
        <w:t xml:space="preserve">Όνομα και διεύθυνση </w:t>
      </w:r>
      <w:r w:rsidRPr="00141E61">
        <w:rPr>
          <w:rFonts w:eastAsiaTheme="minorEastAsia" w:cstheme="minorHAnsi"/>
          <w:color w:val="000000"/>
          <w:lang w:eastAsia="el-GR"/>
        </w:rPr>
        <w:t xml:space="preserve">του οικονομικού φορέα:…[Σημείωση: να αναγραφεί το όνομα και η διεύθυνση του υπογράφοντος του μέρους Ι της δήλωσης αμοιβαίας αναγνώρισης: του παραγωγού […] και, κατά περίπτωση, </w:t>
      </w:r>
      <w:r w:rsidRPr="00141E61">
        <w:rPr>
          <w:rFonts w:eastAsiaTheme="minorEastAsia" w:cstheme="minorHAnsi"/>
          <w:lang w:eastAsia="el-GR"/>
        </w:rPr>
        <w:t>του εξουσιοδοτημένου αντιπροσώπου του</w:t>
      </w:r>
      <w:r w:rsidRPr="00141E61">
        <w:rPr>
          <w:rFonts w:eastAsiaTheme="minorEastAsia" w:cstheme="minorHAnsi"/>
          <w:color w:val="000000"/>
          <w:lang w:eastAsia="el-GR"/>
        </w:rPr>
        <w:t xml:space="preserve"> ή του εισαγωγέα ή του διανομέα]</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3.</w:t>
      </w:r>
      <w:r w:rsidRPr="00141E61">
        <w:rPr>
          <w:rFonts w:eastAsiaTheme="minorEastAsia" w:cstheme="minorHAnsi"/>
          <w:lang w:eastAsia="el-GR"/>
        </w:rPr>
        <w:tab/>
        <w:t>Περιγραφή των εμπορευμάτων ή του είδους εμπορευμάτων που αποτελούν αντικείμενο της δήλωσης αμοιβαίας αναγνώρισης: … [Σημείωση: Η περιγραφή πρέπει να επαρκεί ώστε να καθιστά εφικτή την ταυτοποίηση των εμπορευμάτων για λόγους ιχνηλασιμότητας. Μπορεί να συνοδεύεται από φωτογραφία, κατά περίπτωση]</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4.      Δήλωση και πληροφορίες σχετικά με τη νομιμότητα της κυκλοφορίας των εμπορευμάτων ή των εμπορευμάτων αυτού του είδους: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       4.1. Τα εμπορεύματα ή το είδος εμπορευμάτων που περιγράφονται ανωτέρω, συμπεριλαμβανομένων των χαρακτηριστικών τους, συμμορφώνονται με τους ακόλουθους κανόνες που εφαρμόζονται στ… [Σημείωση: προσδιορισμός του κράτους μέλους στο οποίο τα εμπορεύματα ή τα εμπορεύματα αυτού του είδους θεωρούνται ότι κυκλοφορούν νόμιμα]: … [Σημείωση: να προστεθούν ο τίτλος και η αναφορά δημοσίευσης, σε κάθε περίπτωση, των σχετικών κανόνων που ισχύουν στο εν λόγω κράτος μέλος και η αναφορά της διοικητικής απόφασης, εάν τα εμπορεύματα υπόκεινται σε διαδικασία προέγκρισης]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               ή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              τα εμπορεύματα ή το είδος εμπορευμάτων που περιγράφονται ανωτέρω δεν υπόκεινται σε κανόνες στ … [Σημείωση: προσδιορισμός του κράτους μέλους στο οποίο τα εμπορεύματα ή τα εμπορεύματα αυτού του είδους θεωρούνται ότι κυκλοφορούν νόμιμα].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      4.2. Αναφορά της διαδικασίας αξιολόγησης της συμμόρφωσης που εφαρμόζεται στα εμπορεύματα ή τα εμπορεύματα αυτού του είδους ή αναφορά των εκθέσεων δοκιμών, αν έχουν γίνει δοκιμές από οργανισμό αξιολόγησης της συμμόρφωσης, περιλαμβανομένου του ονόματος και της διεύθυνσης του οργανισμού αυτού (αν η εν λόγω διαδικασία πραγματοποιήθηκε ή αν αυτές οι δοκιμές έγιναν): …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lastRenderedPageBreak/>
        <w:t xml:space="preserve">5.         Τυχόν πρόσθετες πληροφορίες που κρίνονται σκόπιμες για την αξιολόγηση του κατά πόσον τα εμπορεύματα ή τα εμπορεύματα αυτού του είδους κυκλοφορούν νόμιμα στο κράτος μέλος που αναφέρεται στο σημείο 4.1: …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6.        Το μέρος αυτό της δήλωσης αμοιβαίας αναγνώρισης εξεδόθη με αποκλειστική ευθύνη του οικονομικού φορέα που προσδιορίζεται στο σημείο 2.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             Υπογράφεται από και για λογαριασμό: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              (τόπος και ημερομηνία):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             (όνομα, θέση) (υπογραφή): </w:t>
      </w:r>
    </w:p>
    <w:p w:rsidR="00141E61" w:rsidRPr="00141E61" w:rsidRDefault="00141E61" w:rsidP="00141E61">
      <w:pPr>
        <w:ind w:left="851" w:hanging="851"/>
        <w:jc w:val="both"/>
        <w:rPr>
          <w:rFonts w:eastAsiaTheme="minorEastAsia" w:cstheme="minorHAnsi"/>
          <w:lang w:eastAsia="el-GR"/>
        </w:rPr>
      </w:pPr>
    </w:p>
    <w:p w:rsidR="00141E61" w:rsidRPr="00141E61" w:rsidRDefault="00141E61" w:rsidP="00141E61">
      <w:pPr>
        <w:ind w:left="851" w:hanging="851"/>
        <w:jc w:val="both"/>
        <w:rPr>
          <w:rFonts w:eastAsiaTheme="minorEastAsia" w:cstheme="minorHAnsi"/>
          <w:b/>
          <w:lang w:eastAsia="el-GR"/>
        </w:rPr>
      </w:pPr>
      <w:r w:rsidRPr="00141E61">
        <w:rPr>
          <w:rFonts w:eastAsiaTheme="minorEastAsia" w:cstheme="minorHAnsi"/>
          <w:b/>
          <w:lang w:eastAsia="el-GR"/>
        </w:rPr>
        <w:t xml:space="preserve">Μέρος II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7.      Δήλωση και πληροφορίες σχετικά με την κυκλοφορία των εμπορευμάτων ή των εμπορευμάτων αυτού του είδους: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    7.1.   Τα εμπορεύματα ή τα εμπορεύματα αυτού του είδους που αναφέρονται στο Μέρος I καθίστανται διαθέσιμα σε τελικούς χρήστες στην αγορά του κράτους μέλους που αναφέρεται στο σημείο 4.1.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    7.2.   Πληροφορίες σχετικά με τη διαθεσιμότητα των εμπορευμάτων ή των εμπορευμάτων αυτού του είδους στους τελικούς χρήστες στο κράτος μέλος που αναφέρεται στο σημείο 4.1, όπως στοιχεία για την ημερομηνία κατά την οποία τα εμπορεύματα κατέστησαν για πρώτη φορά διαθέσιμα σε τελικούς χρήστες στην αγορά αυτού του κράτους μέλους: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8.        Τυχόν πρόσθετες πληροφορίες που κρίνονται σκόπιμες για την αξιολόγηση του κατά πόσον τα εμπορεύματα ή τα εμπορεύματα αυτού του είδους κυκλοφορούν νόμιμα στο κράτος μέλος που αναφέρεται στο σημείο 4.1: …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9.         Το μέρος αυτό της δήλωσης αμοιβαίας αναγνώρισης εξεδόθη με αποκλειστική ευθύνη του [Σημείωση: να αναγραφεί το όνομα και η διεύθυνση του υπογράφοντος το μέρος II της δήλωσης αμοιβαίας αναγνώρισης: του παραγωγού και, κατά περίπτωση, του εξουσιοδοτημένου αντιπροσώπου του, ή του εισαγωγέα, ή του διανομέα].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              Υπογράφεται από και για λογαριασμό: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              (τόπος και ημερομηνία): </w:t>
      </w:r>
    </w:p>
    <w:p w:rsidR="00141E61" w:rsidRPr="00141E61" w:rsidRDefault="00141E61" w:rsidP="00141E61">
      <w:pPr>
        <w:ind w:left="851" w:hanging="851"/>
        <w:jc w:val="both"/>
        <w:rPr>
          <w:rFonts w:eastAsiaTheme="minorEastAsia" w:cstheme="minorHAnsi"/>
          <w:lang w:eastAsia="el-GR"/>
        </w:rPr>
      </w:pPr>
      <w:r w:rsidRPr="00141E61">
        <w:rPr>
          <w:rFonts w:eastAsiaTheme="minorEastAsia" w:cstheme="minorHAnsi"/>
          <w:lang w:eastAsia="el-GR"/>
        </w:rPr>
        <w:t xml:space="preserve">              (όνομα, θέση) (υπογραφή):</w:t>
      </w:r>
    </w:p>
    <w:p w:rsidR="00141E61" w:rsidRPr="00141E61" w:rsidRDefault="00141E61" w:rsidP="00141E61">
      <w:pPr>
        <w:ind w:left="851" w:hanging="851"/>
        <w:jc w:val="both"/>
        <w:rPr>
          <w:rFonts w:eastAsiaTheme="minorEastAsia" w:cstheme="minorHAnsi"/>
          <w:lang w:eastAsia="el-GR"/>
        </w:rPr>
      </w:pPr>
    </w:p>
    <w:p w:rsidR="00141E61" w:rsidRPr="00141E61" w:rsidRDefault="00141E61" w:rsidP="00141E61">
      <w:pPr>
        <w:rPr>
          <w:rFonts w:eastAsiaTheme="minorEastAsia" w:cstheme="minorHAnsi"/>
          <w:lang w:eastAsia="el-GR"/>
        </w:rPr>
      </w:pPr>
    </w:p>
    <w:p w:rsidR="00417A63" w:rsidRPr="00141E61" w:rsidRDefault="00417A63">
      <w:pPr>
        <w:spacing w:after="0" w:line="240" w:lineRule="auto"/>
        <w:jc w:val="both"/>
        <w:rPr>
          <w:rFonts w:cstheme="minorHAnsi"/>
        </w:rPr>
      </w:pPr>
    </w:p>
    <w:sectPr w:rsidR="00417A63" w:rsidRPr="00141E61" w:rsidSect="00F2239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73E" w:rsidRDefault="00D7773E" w:rsidP="001E5CCE">
      <w:pPr>
        <w:spacing w:after="0" w:line="240" w:lineRule="auto"/>
      </w:pPr>
      <w:r>
        <w:separator/>
      </w:r>
    </w:p>
  </w:endnote>
  <w:endnote w:type="continuationSeparator" w:id="0">
    <w:p w:rsidR="00D7773E" w:rsidRDefault="00D7773E" w:rsidP="001E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233304"/>
      <w:docPartObj>
        <w:docPartGallery w:val="Page Numbers (Bottom of Page)"/>
        <w:docPartUnique/>
      </w:docPartObj>
    </w:sdtPr>
    <w:sdtEndPr/>
    <w:sdtContent>
      <w:p w:rsidR="001E5CCE" w:rsidRDefault="004A1610">
        <w:pPr>
          <w:pStyle w:val="Footer"/>
          <w:jc w:val="right"/>
        </w:pPr>
        <w:r>
          <w:fldChar w:fldCharType="begin"/>
        </w:r>
        <w:r w:rsidR="001E5CCE">
          <w:instrText>PAGE   \* MERGEFORMAT</w:instrText>
        </w:r>
        <w:r>
          <w:fldChar w:fldCharType="separate"/>
        </w:r>
        <w:r w:rsidR="005965D8">
          <w:rPr>
            <w:noProof/>
          </w:rPr>
          <w:t>2</w:t>
        </w:r>
        <w:r>
          <w:fldChar w:fldCharType="end"/>
        </w:r>
      </w:p>
    </w:sdtContent>
  </w:sdt>
  <w:p w:rsidR="001E5CCE" w:rsidRDefault="001E5C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73E" w:rsidRDefault="00D7773E" w:rsidP="001E5CCE">
      <w:pPr>
        <w:spacing w:after="0" w:line="240" w:lineRule="auto"/>
      </w:pPr>
      <w:r>
        <w:separator/>
      </w:r>
    </w:p>
  </w:footnote>
  <w:footnote w:type="continuationSeparator" w:id="0">
    <w:p w:rsidR="00D7773E" w:rsidRDefault="00D7773E" w:rsidP="001E5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221F"/>
    <w:multiLevelType w:val="hybridMultilevel"/>
    <w:tmpl w:val="5A2CDC40"/>
    <w:lvl w:ilvl="0" w:tplc="8E50F7B4">
      <w:start w:val="1"/>
      <w:numFmt w:val="bullet"/>
      <w:lvlText w:val="-"/>
      <w:lvlJc w:val="left"/>
      <w:pPr>
        <w:ind w:left="0" w:hanging="360"/>
      </w:pPr>
      <w:rPr>
        <w:rFonts w:ascii="Courier New" w:hAnsi="Courier New" w:hint="default"/>
        <w:color w:val="auto"/>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 w15:restartNumberingAfterBreak="0">
    <w:nsid w:val="173039D8"/>
    <w:multiLevelType w:val="hybridMultilevel"/>
    <w:tmpl w:val="B352013E"/>
    <w:lvl w:ilvl="0" w:tplc="C77426F0">
      <w:numFmt w:val="bullet"/>
      <w:lvlText w:val="-"/>
      <w:lvlJc w:val="left"/>
      <w:pPr>
        <w:ind w:left="720" w:hanging="360"/>
      </w:pPr>
      <w:rPr>
        <w:rFonts w:ascii="Verdana" w:eastAsiaTheme="minorHAnsi"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245900"/>
    <w:multiLevelType w:val="hybridMultilevel"/>
    <w:tmpl w:val="202A2E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8A1358"/>
    <w:multiLevelType w:val="hybridMultilevel"/>
    <w:tmpl w:val="80C45E92"/>
    <w:lvl w:ilvl="0" w:tplc="8E50F7B4">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CEA5339"/>
    <w:multiLevelType w:val="hybridMultilevel"/>
    <w:tmpl w:val="0E6C83C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1391321"/>
    <w:multiLevelType w:val="multilevel"/>
    <w:tmpl w:val="149E6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B75A8E"/>
    <w:multiLevelType w:val="hybridMultilevel"/>
    <w:tmpl w:val="30744508"/>
    <w:lvl w:ilvl="0" w:tplc="C77426F0">
      <w:numFmt w:val="bullet"/>
      <w:lvlText w:val="-"/>
      <w:lvlJc w:val="left"/>
      <w:pPr>
        <w:ind w:left="720" w:hanging="360"/>
      </w:pPr>
      <w:rPr>
        <w:rFonts w:ascii="Verdana" w:eastAsiaTheme="minorHAnsi"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0AD5F9C"/>
    <w:multiLevelType w:val="multilevel"/>
    <w:tmpl w:val="04080021"/>
    <w:lvl w:ilvl="0">
      <w:start w:val="1"/>
      <w:numFmt w:val="bullet"/>
      <w:lvlText w:val=""/>
      <w:lvlJc w:val="left"/>
      <w:pPr>
        <w:ind w:left="502" w:hanging="360"/>
      </w:pPr>
      <w:rPr>
        <w:rFonts w:ascii="Wingdings" w:hAnsi="Wingdings" w:hint="default"/>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8" w15:restartNumberingAfterBreak="0">
    <w:nsid w:val="459D4979"/>
    <w:multiLevelType w:val="hybridMultilevel"/>
    <w:tmpl w:val="E562665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BFC3DA5"/>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46D0045"/>
    <w:multiLevelType w:val="hybridMultilevel"/>
    <w:tmpl w:val="065C590C"/>
    <w:lvl w:ilvl="0" w:tplc="C9E01A5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69D6AC5"/>
    <w:multiLevelType w:val="hybridMultilevel"/>
    <w:tmpl w:val="AC76CCEE"/>
    <w:lvl w:ilvl="0" w:tplc="60F2968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1"/>
  </w:num>
  <w:num w:numId="6">
    <w:abstractNumId w:val="9"/>
  </w:num>
  <w:num w:numId="7">
    <w:abstractNumId w:val="7"/>
  </w:num>
  <w:num w:numId="8">
    <w:abstractNumId w:val="8"/>
  </w:num>
  <w:num w:numId="9">
    <w:abstractNumId w:val="2"/>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5475"/>
    <w:rsid w:val="00022080"/>
    <w:rsid w:val="00034244"/>
    <w:rsid w:val="000465DA"/>
    <w:rsid w:val="000A53EB"/>
    <w:rsid w:val="000E2F92"/>
    <w:rsid w:val="000E5A3F"/>
    <w:rsid w:val="00104E5D"/>
    <w:rsid w:val="00141E61"/>
    <w:rsid w:val="00154388"/>
    <w:rsid w:val="00177377"/>
    <w:rsid w:val="001A1D0B"/>
    <w:rsid w:val="001D1AC0"/>
    <w:rsid w:val="001E5CCE"/>
    <w:rsid w:val="00212CBF"/>
    <w:rsid w:val="00265131"/>
    <w:rsid w:val="00265A63"/>
    <w:rsid w:val="00273C62"/>
    <w:rsid w:val="00274DF7"/>
    <w:rsid w:val="0028331C"/>
    <w:rsid w:val="002D6FD0"/>
    <w:rsid w:val="002E3F3D"/>
    <w:rsid w:val="003277FE"/>
    <w:rsid w:val="00337334"/>
    <w:rsid w:val="00354BCA"/>
    <w:rsid w:val="00355475"/>
    <w:rsid w:val="003555E2"/>
    <w:rsid w:val="003710EA"/>
    <w:rsid w:val="00371E7D"/>
    <w:rsid w:val="0037499B"/>
    <w:rsid w:val="003A5C6B"/>
    <w:rsid w:val="003B110F"/>
    <w:rsid w:val="003C3624"/>
    <w:rsid w:val="003F14C6"/>
    <w:rsid w:val="00402580"/>
    <w:rsid w:val="00417A63"/>
    <w:rsid w:val="00422E2D"/>
    <w:rsid w:val="004337D5"/>
    <w:rsid w:val="00473BB4"/>
    <w:rsid w:val="00491E78"/>
    <w:rsid w:val="004A1610"/>
    <w:rsid w:val="004B2A48"/>
    <w:rsid w:val="004B76ED"/>
    <w:rsid w:val="004F6EB1"/>
    <w:rsid w:val="005043BF"/>
    <w:rsid w:val="005217D1"/>
    <w:rsid w:val="00527AEC"/>
    <w:rsid w:val="005360DA"/>
    <w:rsid w:val="00555C5D"/>
    <w:rsid w:val="0057545B"/>
    <w:rsid w:val="00595221"/>
    <w:rsid w:val="005965D8"/>
    <w:rsid w:val="005D626A"/>
    <w:rsid w:val="005F450F"/>
    <w:rsid w:val="006001BC"/>
    <w:rsid w:val="00600CAD"/>
    <w:rsid w:val="00612BD4"/>
    <w:rsid w:val="006419AA"/>
    <w:rsid w:val="006433EA"/>
    <w:rsid w:val="00643CD6"/>
    <w:rsid w:val="00652FEF"/>
    <w:rsid w:val="0069644A"/>
    <w:rsid w:val="006A09AD"/>
    <w:rsid w:val="006A6825"/>
    <w:rsid w:val="006B53AA"/>
    <w:rsid w:val="006E3705"/>
    <w:rsid w:val="006F001A"/>
    <w:rsid w:val="006F04EB"/>
    <w:rsid w:val="006F1DFC"/>
    <w:rsid w:val="006F1F34"/>
    <w:rsid w:val="007226F7"/>
    <w:rsid w:val="00731072"/>
    <w:rsid w:val="00733AA6"/>
    <w:rsid w:val="00734347"/>
    <w:rsid w:val="00754ED1"/>
    <w:rsid w:val="007574E2"/>
    <w:rsid w:val="00774804"/>
    <w:rsid w:val="00793653"/>
    <w:rsid w:val="007A38F1"/>
    <w:rsid w:val="007C18F2"/>
    <w:rsid w:val="007D6FB8"/>
    <w:rsid w:val="007E35A1"/>
    <w:rsid w:val="007F6BB9"/>
    <w:rsid w:val="00813B44"/>
    <w:rsid w:val="00833CC0"/>
    <w:rsid w:val="00840A08"/>
    <w:rsid w:val="008576E4"/>
    <w:rsid w:val="0086738A"/>
    <w:rsid w:val="008718EA"/>
    <w:rsid w:val="008A236E"/>
    <w:rsid w:val="008B161A"/>
    <w:rsid w:val="008F4142"/>
    <w:rsid w:val="00913988"/>
    <w:rsid w:val="0096230E"/>
    <w:rsid w:val="009668FC"/>
    <w:rsid w:val="00975081"/>
    <w:rsid w:val="0099274C"/>
    <w:rsid w:val="009A295E"/>
    <w:rsid w:val="009A2FBC"/>
    <w:rsid w:val="009A3BD3"/>
    <w:rsid w:val="009A6F59"/>
    <w:rsid w:val="009B672A"/>
    <w:rsid w:val="009C5F88"/>
    <w:rsid w:val="009C774C"/>
    <w:rsid w:val="009D5989"/>
    <w:rsid w:val="009E499A"/>
    <w:rsid w:val="009E4E70"/>
    <w:rsid w:val="00A0332C"/>
    <w:rsid w:val="00A04CDC"/>
    <w:rsid w:val="00A061A2"/>
    <w:rsid w:val="00A1013F"/>
    <w:rsid w:val="00A50003"/>
    <w:rsid w:val="00A518F3"/>
    <w:rsid w:val="00A856B2"/>
    <w:rsid w:val="00AA7CB8"/>
    <w:rsid w:val="00B15A30"/>
    <w:rsid w:val="00B34D22"/>
    <w:rsid w:val="00B460DD"/>
    <w:rsid w:val="00B60D3A"/>
    <w:rsid w:val="00BE61F7"/>
    <w:rsid w:val="00BF601D"/>
    <w:rsid w:val="00BF7F64"/>
    <w:rsid w:val="00C051CA"/>
    <w:rsid w:val="00C114E1"/>
    <w:rsid w:val="00C60957"/>
    <w:rsid w:val="00CA1981"/>
    <w:rsid w:val="00CA415E"/>
    <w:rsid w:val="00CB30B3"/>
    <w:rsid w:val="00CB7575"/>
    <w:rsid w:val="00CE4009"/>
    <w:rsid w:val="00D76210"/>
    <w:rsid w:val="00D7773E"/>
    <w:rsid w:val="00D8607B"/>
    <w:rsid w:val="00D92D35"/>
    <w:rsid w:val="00DA63C7"/>
    <w:rsid w:val="00DB0783"/>
    <w:rsid w:val="00DB5985"/>
    <w:rsid w:val="00DC29E2"/>
    <w:rsid w:val="00DE4634"/>
    <w:rsid w:val="00DE6590"/>
    <w:rsid w:val="00E01ABE"/>
    <w:rsid w:val="00E167C7"/>
    <w:rsid w:val="00E311CB"/>
    <w:rsid w:val="00E53C27"/>
    <w:rsid w:val="00E6320A"/>
    <w:rsid w:val="00EE1FD8"/>
    <w:rsid w:val="00EF6FF9"/>
    <w:rsid w:val="00F22393"/>
    <w:rsid w:val="00F41E2E"/>
    <w:rsid w:val="00F53C24"/>
    <w:rsid w:val="00F60902"/>
    <w:rsid w:val="00FB4F76"/>
    <w:rsid w:val="00FD6E64"/>
    <w:rsid w:val="00FE2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F526"/>
  <w15:docId w15:val="{2D32F048-3A13-424A-9390-4A7F42E7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5547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55475"/>
    <w:rPr>
      <w:rFonts w:ascii="Calibri" w:hAnsi="Calibri"/>
      <w:szCs w:val="21"/>
    </w:rPr>
  </w:style>
  <w:style w:type="paragraph" w:styleId="ListParagraph">
    <w:name w:val="List Paragraph"/>
    <w:basedOn w:val="Normal"/>
    <w:qFormat/>
    <w:rsid w:val="00FE254F"/>
    <w:pPr>
      <w:spacing w:after="0" w:line="240" w:lineRule="auto"/>
      <w:ind w:left="720"/>
    </w:pPr>
    <w:rPr>
      <w:rFonts w:ascii="Times New Roman" w:hAnsi="Times New Roman" w:cs="Times New Roman"/>
      <w:sz w:val="24"/>
      <w:szCs w:val="24"/>
      <w:lang w:eastAsia="el-GR"/>
    </w:rPr>
  </w:style>
  <w:style w:type="character" w:styleId="Hyperlink">
    <w:name w:val="Hyperlink"/>
    <w:basedOn w:val="DefaultParagraphFont"/>
    <w:uiPriority w:val="99"/>
    <w:unhideWhenUsed/>
    <w:rsid w:val="00600CAD"/>
    <w:rPr>
      <w:color w:val="0000FF"/>
      <w:u w:val="single"/>
    </w:rPr>
  </w:style>
  <w:style w:type="paragraph" w:styleId="Header">
    <w:name w:val="header"/>
    <w:basedOn w:val="Normal"/>
    <w:link w:val="HeaderChar"/>
    <w:uiPriority w:val="99"/>
    <w:unhideWhenUsed/>
    <w:rsid w:val="001E5C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CCE"/>
  </w:style>
  <w:style w:type="paragraph" w:styleId="Footer">
    <w:name w:val="footer"/>
    <w:basedOn w:val="Normal"/>
    <w:link w:val="FooterChar"/>
    <w:uiPriority w:val="99"/>
    <w:unhideWhenUsed/>
    <w:rsid w:val="001E5C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CCE"/>
  </w:style>
  <w:style w:type="paragraph" w:customStyle="1" w:styleId="Default">
    <w:name w:val="Default"/>
    <w:rsid w:val="00A1013F"/>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975081"/>
    <w:rPr>
      <w:color w:val="605E5C"/>
      <w:shd w:val="clear" w:color="auto" w:fill="E1DFDD"/>
    </w:rPr>
  </w:style>
  <w:style w:type="table" w:styleId="TableGrid">
    <w:name w:val="Table Grid"/>
    <w:basedOn w:val="TableNormal"/>
    <w:uiPriority w:val="59"/>
    <w:rsid w:val="0032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415E"/>
    <w:rPr>
      <w:sz w:val="16"/>
      <w:szCs w:val="16"/>
    </w:rPr>
  </w:style>
  <w:style w:type="paragraph" w:styleId="CommentText">
    <w:name w:val="annotation text"/>
    <w:basedOn w:val="Normal"/>
    <w:link w:val="CommentTextChar"/>
    <w:uiPriority w:val="99"/>
    <w:semiHidden/>
    <w:unhideWhenUsed/>
    <w:rsid w:val="00CA415E"/>
    <w:pPr>
      <w:spacing w:line="240" w:lineRule="auto"/>
    </w:pPr>
    <w:rPr>
      <w:sz w:val="20"/>
      <w:szCs w:val="20"/>
    </w:rPr>
  </w:style>
  <w:style w:type="character" w:customStyle="1" w:styleId="CommentTextChar">
    <w:name w:val="Comment Text Char"/>
    <w:basedOn w:val="DefaultParagraphFont"/>
    <w:link w:val="CommentText"/>
    <w:uiPriority w:val="99"/>
    <w:semiHidden/>
    <w:rsid w:val="00CA415E"/>
    <w:rPr>
      <w:sz w:val="20"/>
      <w:szCs w:val="20"/>
    </w:rPr>
  </w:style>
  <w:style w:type="paragraph" w:styleId="CommentSubject">
    <w:name w:val="annotation subject"/>
    <w:basedOn w:val="CommentText"/>
    <w:next w:val="CommentText"/>
    <w:link w:val="CommentSubjectChar"/>
    <w:uiPriority w:val="99"/>
    <w:semiHidden/>
    <w:unhideWhenUsed/>
    <w:rsid w:val="00CA415E"/>
    <w:rPr>
      <w:b/>
      <w:bCs/>
    </w:rPr>
  </w:style>
  <w:style w:type="character" w:customStyle="1" w:styleId="CommentSubjectChar">
    <w:name w:val="Comment Subject Char"/>
    <w:basedOn w:val="CommentTextChar"/>
    <w:link w:val="CommentSubject"/>
    <w:uiPriority w:val="99"/>
    <w:semiHidden/>
    <w:rsid w:val="00CA415E"/>
    <w:rPr>
      <w:b/>
      <w:bCs/>
      <w:sz w:val="20"/>
      <w:szCs w:val="20"/>
    </w:rPr>
  </w:style>
  <w:style w:type="paragraph" w:styleId="BalloonText">
    <w:name w:val="Balloon Text"/>
    <w:basedOn w:val="Normal"/>
    <w:link w:val="BalloonTextChar"/>
    <w:uiPriority w:val="99"/>
    <w:semiHidden/>
    <w:unhideWhenUsed/>
    <w:rsid w:val="00CA4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11940">
      <w:bodyDiv w:val="1"/>
      <w:marLeft w:val="0"/>
      <w:marRight w:val="0"/>
      <w:marTop w:val="0"/>
      <w:marBottom w:val="0"/>
      <w:divBdr>
        <w:top w:val="none" w:sz="0" w:space="0" w:color="auto"/>
        <w:left w:val="none" w:sz="0" w:space="0" w:color="auto"/>
        <w:bottom w:val="none" w:sz="0" w:space="0" w:color="auto"/>
        <w:right w:val="none" w:sz="0" w:space="0" w:color="auto"/>
      </w:divBdr>
    </w:div>
    <w:div w:id="1168903802">
      <w:bodyDiv w:val="1"/>
      <w:marLeft w:val="0"/>
      <w:marRight w:val="0"/>
      <w:marTop w:val="0"/>
      <w:marBottom w:val="0"/>
      <w:divBdr>
        <w:top w:val="none" w:sz="0" w:space="0" w:color="auto"/>
        <w:left w:val="none" w:sz="0" w:space="0" w:color="auto"/>
        <w:bottom w:val="none" w:sz="0" w:space="0" w:color="auto"/>
        <w:right w:val="none" w:sz="0" w:space="0" w:color="auto"/>
      </w:divBdr>
    </w:div>
    <w:div w:id="1403796048">
      <w:bodyDiv w:val="1"/>
      <w:marLeft w:val="0"/>
      <w:marRight w:val="0"/>
      <w:marTop w:val="0"/>
      <w:marBottom w:val="0"/>
      <w:divBdr>
        <w:top w:val="none" w:sz="0" w:space="0" w:color="auto"/>
        <w:left w:val="none" w:sz="0" w:space="0" w:color="auto"/>
        <w:bottom w:val="none" w:sz="0" w:space="0" w:color="auto"/>
        <w:right w:val="none" w:sz="0" w:space="0" w:color="auto"/>
      </w:divBdr>
    </w:div>
    <w:div w:id="173515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745C-505B-4E89-AA90-D066A0B6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Xroni Stamatia</dc:creator>
  <cp:lastModifiedBy>C</cp:lastModifiedBy>
  <cp:revision>2</cp:revision>
  <dcterms:created xsi:type="dcterms:W3CDTF">2021-05-13T15:35:00Z</dcterms:created>
  <dcterms:modified xsi:type="dcterms:W3CDTF">2021-05-13T15:35:00Z</dcterms:modified>
</cp:coreProperties>
</file>